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BC36" w14:textId="77777777" w:rsidR="00927FFC" w:rsidRPr="00714DC4" w:rsidRDefault="00927FFC" w:rsidP="00927FFC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color w:val="1793D7"/>
          <w:sz w:val="44"/>
          <w:szCs w:val="48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1793D7"/>
          <w:sz w:val="44"/>
          <w:szCs w:val="48"/>
          <w:lang w:eastAsia="de-DE"/>
        </w:rPr>
        <w:t>Bezahlbarer BU-Schutz</w:t>
      </w:r>
      <w:r w:rsidRPr="00714DC4">
        <w:rPr>
          <w:rFonts w:ascii="Arial" w:eastAsia="Times New Roman" w:hAnsi="Arial" w:cs="Arial"/>
          <w:b/>
          <w:color w:val="1793D7"/>
          <w:sz w:val="44"/>
          <w:szCs w:val="48"/>
          <w:lang w:eastAsia="de-DE"/>
        </w:rPr>
        <w:t xml:space="preserve"> </w:t>
      </w:r>
      <w:r>
        <w:rPr>
          <w:rFonts w:ascii="Arial" w:eastAsia="Times New Roman" w:hAnsi="Arial" w:cs="Arial"/>
          <w:b/>
          <w:color w:val="1793D7"/>
          <w:sz w:val="44"/>
          <w:szCs w:val="48"/>
          <w:lang w:eastAsia="de-DE"/>
        </w:rPr>
        <w:t>für Handwerker und körperlich Tätige ohne Gesundheitsprüfung – als Firmenkonzept</w:t>
      </w:r>
    </w:p>
    <w:p w14:paraId="798C4013" w14:textId="77777777" w:rsidR="00927FFC" w:rsidRDefault="00927FFC" w:rsidP="00927F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14DC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Ob Arbeitnehmer, Berufsanfänger oder Unternehmer, vor Berufsunfähigkeit ist niemand sicher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doch ganz besonders die, die den Schutz am meisten benötigen, erhalten oft nur schwer Zugang</w:t>
      </w:r>
      <w:r w:rsidRPr="00714DC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Gerade Handwerker sind besonders gefährdet,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 für </w:t>
      </w:r>
      <w:r w:rsidRPr="00714DC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körperlich Tätige </w:t>
      </w:r>
      <w:r w:rsidRPr="00F724B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 deutlich erhöhtes Risiko besteht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– besonders schwierig wird es mit Vorerkrankungen oder gefahrerhöhenden Hobbies</w:t>
      </w:r>
      <w:r w:rsidRPr="00F724B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14:paraId="14831EA7" w14:textId="77777777" w:rsidR="00927FFC" w:rsidRPr="00F724BF" w:rsidRDefault="00927FFC" w:rsidP="00927F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53A50"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  <w:t>Wie wäre es da mit einer Lösung ohne Gesundheitsprüfung?</w:t>
      </w:r>
    </w:p>
    <w:tbl>
      <w:tblPr>
        <w:tblStyle w:val="TabellemithellemGitternetz"/>
        <w:tblW w:w="9387" w:type="dxa"/>
        <w:tblLook w:val="0420" w:firstRow="1" w:lastRow="0" w:firstColumn="0" w:lastColumn="0" w:noHBand="0" w:noVBand="1"/>
      </w:tblPr>
      <w:tblGrid>
        <w:gridCol w:w="4610"/>
        <w:gridCol w:w="4777"/>
      </w:tblGrid>
      <w:tr w:rsidR="00927FFC" w:rsidRPr="00F724BF" w14:paraId="00B4359A" w14:textId="77777777" w:rsidTr="00E25DE7">
        <w:trPr>
          <w:trHeight w:val="878"/>
        </w:trPr>
        <w:tc>
          <w:tcPr>
            <w:tcW w:w="4610" w:type="dxa"/>
            <w:hideMark/>
          </w:tcPr>
          <w:p w14:paraId="053BA8FD" w14:textId="77777777" w:rsidR="00927FFC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F724B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Die ungefährlichste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</w:t>
            </w:r>
            <w:r w:rsidRPr="00F724B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Berufe </w:t>
            </w:r>
          </w:p>
          <w:p w14:paraId="5CCEADDA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bCs/>
                <w:color w:val="000000"/>
                <w:sz w:val="20"/>
                <w:szCs w:val="20"/>
                <w:lang w:eastAsia="de-DE"/>
              </w:rPr>
              <w:t>(…% kommen nicht regulär in die Altersrenten)</w:t>
            </w:r>
          </w:p>
        </w:tc>
        <w:tc>
          <w:tcPr>
            <w:tcW w:w="4777" w:type="dxa"/>
            <w:hideMark/>
          </w:tcPr>
          <w:p w14:paraId="7FF06A05" w14:textId="77777777" w:rsidR="00927FFC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D7291E">
              <w:rPr>
                <w:rFonts w:ascii="Arial" w:hAnsi="Arial" w:cs="Arial"/>
                <w:b/>
                <w:color w:val="000000"/>
                <w:sz w:val="24"/>
                <w:szCs w:val="24"/>
                <w:lang w:eastAsia="de-DE"/>
              </w:rPr>
              <w:t>Die gefährlichsten Berufe</w:t>
            </w:r>
            <w:r w:rsidRPr="00F724BF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14:paraId="45203C40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(…% kommen nicht regulär in die Altersrenten)</w:t>
            </w:r>
          </w:p>
        </w:tc>
      </w:tr>
      <w:tr w:rsidR="00927FFC" w:rsidRPr="00F724BF" w14:paraId="4D921C46" w14:textId="77777777" w:rsidTr="00E25DE7">
        <w:trPr>
          <w:trHeight w:val="435"/>
        </w:trPr>
        <w:tc>
          <w:tcPr>
            <w:tcW w:w="4610" w:type="dxa"/>
            <w:hideMark/>
          </w:tcPr>
          <w:p w14:paraId="1C78F9F6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Physiker (3,62%)</w:t>
            </w:r>
          </w:p>
        </w:tc>
        <w:tc>
          <w:tcPr>
            <w:tcW w:w="4777" w:type="dxa"/>
            <w:hideMark/>
          </w:tcPr>
          <w:p w14:paraId="681A21DD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Gerüstbauer (52,18%)</w:t>
            </w:r>
          </w:p>
        </w:tc>
      </w:tr>
      <w:tr w:rsidR="00927FFC" w:rsidRPr="00F724BF" w14:paraId="2F06824D" w14:textId="77777777" w:rsidTr="00E25DE7">
        <w:trPr>
          <w:trHeight w:val="435"/>
        </w:trPr>
        <w:tc>
          <w:tcPr>
            <w:tcW w:w="4610" w:type="dxa"/>
            <w:hideMark/>
          </w:tcPr>
          <w:p w14:paraId="79538AAF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Ärzte (4,10%)</w:t>
            </w:r>
          </w:p>
        </w:tc>
        <w:tc>
          <w:tcPr>
            <w:tcW w:w="4777" w:type="dxa"/>
            <w:hideMark/>
          </w:tcPr>
          <w:p w14:paraId="14FC52F0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Dachdecker (51,26%)</w:t>
            </w:r>
          </w:p>
        </w:tc>
      </w:tr>
      <w:tr w:rsidR="00927FFC" w:rsidRPr="00F724BF" w14:paraId="44D157D3" w14:textId="77777777" w:rsidTr="00E25DE7">
        <w:trPr>
          <w:trHeight w:val="435"/>
        </w:trPr>
        <w:tc>
          <w:tcPr>
            <w:tcW w:w="4610" w:type="dxa"/>
            <w:hideMark/>
          </w:tcPr>
          <w:p w14:paraId="27C197E5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Maschinenbauingenieure (4,62%)</w:t>
            </w:r>
          </w:p>
        </w:tc>
        <w:tc>
          <w:tcPr>
            <w:tcW w:w="4777" w:type="dxa"/>
            <w:hideMark/>
          </w:tcPr>
          <w:p w14:paraId="48ECF073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Bergleute (50,06%)</w:t>
            </w:r>
          </w:p>
        </w:tc>
      </w:tr>
      <w:tr w:rsidR="00927FFC" w:rsidRPr="00F724BF" w14:paraId="175128F6" w14:textId="77777777" w:rsidTr="00E25DE7">
        <w:trPr>
          <w:trHeight w:val="435"/>
        </w:trPr>
        <w:tc>
          <w:tcPr>
            <w:tcW w:w="4610" w:type="dxa"/>
            <w:hideMark/>
          </w:tcPr>
          <w:p w14:paraId="2E2310A5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Chemiker (5,37%)</w:t>
            </w:r>
          </w:p>
        </w:tc>
        <w:tc>
          <w:tcPr>
            <w:tcW w:w="4777" w:type="dxa"/>
            <w:hideMark/>
          </w:tcPr>
          <w:p w14:paraId="12425F5D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Pflasterer (41,81%)</w:t>
            </w:r>
          </w:p>
        </w:tc>
      </w:tr>
      <w:tr w:rsidR="00927FFC" w:rsidRPr="00F724BF" w14:paraId="549B9A35" w14:textId="77777777" w:rsidTr="00E25DE7">
        <w:trPr>
          <w:trHeight w:val="435"/>
        </w:trPr>
        <w:tc>
          <w:tcPr>
            <w:tcW w:w="4610" w:type="dxa"/>
            <w:hideMark/>
          </w:tcPr>
          <w:p w14:paraId="1F9D255C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Fertigungsingenieure (5,39%)</w:t>
            </w:r>
          </w:p>
        </w:tc>
        <w:tc>
          <w:tcPr>
            <w:tcW w:w="4777" w:type="dxa"/>
            <w:hideMark/>
          </w:tcPr>
          <w:p w14:paraId="6AAEF28A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Fleisch-/Wurstwarenhersteller (41,77%)</w:t>
            </w:r>
          </w:p>
        </w:tc>
      </w:tr>
      <w:tr w:rsidR="00927FFC" w:rsidRPr="00F724BF" w14:paraId="75903A7F" w14:textId="77777777" w:rsidTr="00E25DE7">
        <w:trPr>
          <w:trHeight w:val="435"/>
        </w:trPr>
        <w:tc>
          <w:tcPr>
            <w:tcW w:w="4610" w:type="dxa"/>
            <w:hideMark/>
          </w:tcPr>
          <w:p w14:paraId="7077C9AE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Rechtsvertreter (5,34%)</w:t>
            </w:r>
          </w:p>
        </w:tc>
        <w:tc>
          <w:tcPr>
            <w:tcW w:w="4777" w:type="dxa"/>
            <w:hideMark/>
          </w:tcPr>
          <w:p w14:paraId="3E80FDAA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Estrichleger (40,57%)</w:t>
            </w:r>
          </w:p>
        </w:tc>
      </w:tr>
      <w:tr w:rsidR="00927FFC" w:rsidRPr="002E3762" w14:paraId="131DECA8" w14:textId="77777777" w:rsidTr="00E25DE7">
        <w:trPr>
          <w:trHeight w:val="435"/>
        </w:trPr>
        <w:tc>
          <w:tcPr>
            <w:tcW w:w="4610" w:type="dxa"/>
            <w:hideMark/>
          </w:tcPr>
          <w:p w14:paraId="39210EE0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Tierärzte (5,88%)</w:t>
            </w:r>
          </w:p>
        </w:tc>
        <w:tc>
          <w:tcPr>
            <w:tcW w:w="4777" w:type="dxa"/>
            <w:hideMark/>
          </w:tcPr>
          <w:p w14:paraId="44448137" w14:textId="77777777" w:rsidR="00927FFC" w:rsidRPr="00D7291E" w:rsidRDefault="00927FFC" w:rsidP="00E25DE7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D729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Fliesenleger (39,98%)</w:t>
            </w:r>
          </w:p>
        </w:tc>
      </w:tr>
    </w:tbl>
    <w:p w14:paraId="7E0C9C0E" w14:textId="77777777" w:rsidR="00927FFC" w:rsidRPr="008B295E" w:rsidRDefault="00927FFC" w:rsidP="00927F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Quelle: Berufsunfähigkeitsversicherung (4. Auflage), Kai-Jochen Neuhaus</w:t>
      </w:r>
    </w:p>
    <w:p w14:paraId="44CBB9AD" w14:textId="77777777" w:rsidR="00927FFC" w:rsidRPr="00714DC4" w:rsidRDefault="00927FFC" w:rsidP="00927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69EED99" w14:textId="77777777" w:rsidR="00927FFC" w:rsidRPr="00B53A50" w:rsidRDefault="00927FFC" w:rsidP="00927FF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lastRenderedPageBreak/>
        <w:t>Berufsunfähigkeit stellt die Betroffenen und ihre Familien vor finanzielle Probleme. Darum ist uns nicht erst seit Corona bewusst: Absicheru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ng in Krisenzeiten ist wichtig.</w:t>
      </w:r>
    </w:p>
    <w:p w14:paraId="2A0DF8ED" w14:textId="77777777" w:rsidR="00927FFC" w:rsidRPr="00B53A50" w:rsidRDefault="00927FFC" w:rsidP="00927FF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Die Absicherung von Berufsunfähigkeit geht besonders günstig über eine </w:t>
      </w:r>
      <w:r w:rsidRPr="00B53A5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arbeitgeberfinanzierte Direktversicherung</w:t>
      </w: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und bringt für alle Bet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eiligten echte Mehrwerte:</w:t>
      </w:r>
    </w:p>
    <w:p w14:paraId="7513569D" w14:textId="77777777" w:rsidR="00927FFC" w:rsidRPr="00BE1FB7" w:rsidRDefault="00927FFC" w:rsidP="00927FFC">
      <w:pPr>
        <w:pStyle w:val="Listenabsatz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BE1FB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Ab 10 Personen mit </w:t>
      </w:r>
      <w:r w:rsidRPr="00BE1FB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Arbeitgebererklärung</w:t>
      </w:r>
      <w:r w:rsidRPr="00BE1FB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und </w:t>
      </w:r>
      <w:r w:rsidRPr="00BE1FB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de-DE"/>
        </w:rPr>
        <w:t>ohne Gesundheitsprüfung</w:t>
      </w:r>
      <w:r w:rsidRPr="00BE1FB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möglich </w:t>
      </w:r>
      <w:r w:rsidRPr="00BE1FB7">
        <w:rPr>
          <w:rFonts w:ascii="Arial" w:hAnsi="Arial" w:cs="Arial"/>
          <w:color w:val="000000" w:themeColor="text1"/>
          <w:sz w:val="24"/>
          <w:szCs w:val="24"/>
        </w:rPr>
        <w:t>(90 % der Belegschaft müssen versichert werden können)</w:t>
      </w:r>
    </w:p>
    <w:p w14:paraId="01EEBFEC" w14:textId="77777777" w:rsidR="00927FFC" w:rsidRDefault="00927FFC" w:rsidP="00927FFC">
      <w:pPr>
        <w:pStyle w:val="Listenabsatz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Zwei Tarifvarianten zur Auswahl</w:t>
      </w:r>
    </w:p>
    <w:p w14:paraId="3F457004" w14:textId="77777777" w:rsidR="00927FFC" w:rsidRPr="00B53A50" w:rsidRDefault="00927FFC" w:rsidP="00927FFC">
      <w:pPr>
        <w:pStyle w:val="Listenabsatz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Attraktive Sozialleistung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und gleichzeitig s</w:t>
      </w: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teuerlich absetzbare Betriebsausgabe</w:t>
      </w:r>
    </w:p>
    <w:p w14:paraId="65E71488" w14:textId="77777777" w:rsidR="00927FFC" w:rsidRPr="00B53A50" w:rsidRDefault="00927FFC" w:rsidP="00927FFC">
      <w:pPr>
        <w:pStyle w:val="Listenabsatz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Zusätzliche Wertschätzung und Fürsorge für Mitarbeiterinnen und Mitarbeiter</w:t>
      </w:r>
    </w:p>
    <w:p w14:paraId="6D0B9665" w14:textId="77777777" w:rsidR="00927FFC" w:rsidRPr="00B53A50" w:rsidRDefault="00927FFC" w:rsidP="00927FFC">
      <w:pPr>
        <w:pStyle w:val="Listenabsatz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(</w:t>
      </w: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Stärkung der Bindung zum Unternehmen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)</w:t>
      </w:r>
    </w:p>
    <w:p w14:paraId="70959D98" w14:textId="77777777" w:rsidR="00927FFC" w:rsidRDefault="00927FFC" w:rsidP="00927FFC">
      <w:pPr>
        <w:pStyle w:val="Listenabsatz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53A5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Mehrleistung für Fachkräfte, die das von einem neuen Arbeitgeber erwarten </w:t>
      </w:r>
    </w:p>
    <w:p w14:paraId="36CBC8A1" w14:textId="77777777" w:rsidR="00927FFC" w:rsidRDefault="00927FFC" w:rsidP="00927FFC">
      <w:pPr>
        <w:pStyle w:val="Listenabsatz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Wahlmöglichkeiten für Arbeitgeber: einheitliche BU-Rente oder einheitlicher Beitrag (individuelle Angebote je Mitarbeiter)</w:t>
      </w:r>
    </w:p>
    <w:p w14:paraId="42DC9E6E" w14:textId="77777777" w:rsidR="00927FFC" w:rsidRDefault="00927FFC" w:rsidP="00927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Der Münchener Verein bietet Ihnen und Ihren Kunden darüber hinaus diverse Möglichkeiten, um sinnvoll Prämienreduzierungen zuzulassen und </w:t>
      </w:r>
      <w:r w:rsidRPr="000D401F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Berufsklassenupgrades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für Mitarbeiter zu ermöglichen.</w:t>
      </w:r>
    </w:p>
    <w:p w14:paraId="24B6C8EA" w14:textId="77777777" w:rsidR="00927FFC" w:rsidRPr="00556C1A" w:rsidRDefault="00927FFC" w:rsidP="00927F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27FFC" w14:paraId="1309BCB3" w14:textId="77777777" w:rsidTr="00E25DE7">
        <w:tc>
          <w:tcPr>
            <w:tcW w:w="10201" w:type="dxa"/>
          </w:tcPr>
          <w:p w14:paraId="13468284" w14:textId="77777777" w:rsidR="00927FFC" w:rsidRDefault="00927FFC" w:rsidP="00E25DE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556C1A">
              <w:rPr>
                <w:rFonts w:ascii="Arial" w:hAnsi="Arial" w:cs="Arial"/>
                <w:b/>
                <w:color w:val="000000"/>
                <w:sz w:val="24"/>
                <w:szCs w:val="24"/>
                <w:lang w:eastAsia="de-DE"/>
              </w:rPr>
              <w:t>Mögliche Wege, um die Prämie zu reduzieren:</w:t>
            </w:r>
          </w:p>
        </w:tc>
      </w:tr>
      <w:tr w:rsidR="00927FFC" w14:paraId="7ECA8F5F" w14:textId="77777777" w:rsidTr="00E25DE7">
        <w:tc>
          <w:tcPr>
            <w:tcW w:w="10201" w:type="dxa"/>
          </w:tcPr>
          <w:p w14:paraId="7798E216" w14:textId="77777777" w:rsidR="00927FFC" w:rsidRDefault="00927FFC" w:rsidP="00927FFC">
            <w:pPr>
              <w:pStyle w:val="Listenabsatz"/>
              <w:numPr>
                <w:ilvl w:val="0"/>
                <w:numId w:val="16"/>
              </w:num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1C4DB" wp14:editId="6089C073">
                      <wp:simplePos x="0" y="0"/>
                      <wp:positionH relativeFrom="column">
                        <wp:posOffset>-480694</wp:posOffset>
                      </wp:positionH>
                      <wp:positionV relativeFrom="paragraph">
                        <wp:posOffset>256517</wp:posOffset>
                      </wp:positionV>
                      <wp:extent cx="1985642" cy="1206230"/>
                      <wp:effectExtent l="57150" t="95250" r="53340" b="89535"/>
                      <wp:wrapNone/>
                      <wp:docPr id="2" name="Abgerundetes 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30107">
                                <a:off x="0" y="0"/>
                                <a:ext cx="1985642" cy="1206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4D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7B6D0" w14:textId="77777777" w:rsidR="00927FFC" w:rsidRDefault="00927FFC" w:rsidP="00927F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B3E02">
                                    <w:rPr>
                                      <w:rFonts w:ascii="Arial" w:hAnsi="Arial" w:cs="Arial"/>
                                    </w:rPr>
                                    <w:t>Schon gewusst?</w:t>
                                  </w:r>
                                </w:p>
                                <w:p w14:paraId="2B5D2E58" w14:textId="77777777" w:rsidR="00927FFC" w:rsidRPr="00CB3E02" w:rsidRDefault="00927FFC" w:rsidP="00927F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B3E02">
                                    <w:rPr>
                                      <w:rFonts w:ascii="Arial" w:hAnsi="Arial" w:cs="Arial"/>
                                    </w:rPr>
                                    <w:t xml:space="preserve"> Die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BU-</w:t>
                                  </w:r>
                                  <w:r w:rsidRPr="00CB3E02">
                                    <w:rPr>
                                      <w:rFonts w:ascii="Arial" w:hAnsi="Arial" w:cs="Arial"/>
                                      <w:b/>
                                    </w:rPr>
                                    <w:t>Leistungsquote</w:t>
                                  </w:r>
                                  <w:r w:rsidRPr="00CB3E02">
                                    <w:rPr>
                                      <w:rFonts w:ascii="Arial" w:hAnsi="Arial" w:cs="Arial"/>
                                    </w:rPr>
                                    <w:t xml:space="preserve"> des Münchener Vereines liegt in 2023 bei </w:t>
                                  </w:r>
                                  <w:r w:rsidRPr="00D7291E">
                                    <w:rPr>
                                      <w:rFonts w:ascii="Arial" w:hAnsi="Arial" w:cs="Arial"/>
                                      <w:b/>
                                    </w:rPr>
                                    <w:t>84,75%</w:t>
                                  </w:r>
                                  <w:r w:rsidRPr="00CB3E02">
                                    <w:rPr>
                                      <w:rFonts w:ascii="Arial" w:hAnsi="Arial" w:cs="Arial"/>
                                    </w:rPr>
                                    <w:t xml:space="preserve"> (in 2022: 81,06%)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1C4DB" id="Abgerundetes Rechteck 2" o:spid="_x0000_s1026" style="position:absolute;left:0;text-align:left;margin-left:-37.85pt;margin-top:20.2pt;width:156.35pt;height:95pt;rotation:-4040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" fillcolor="#c4d600" stroked="f" strokeweight="1pt">
                      <v:stroke joinstyle="miter"/>
                      <v:textbox>
                        <w:txbxContent>
                          <w:p w14:paraId="43E7B6D0" w14:textId="77777777" w:rsidR="00927FFC" w:rsidRDefault="00927FFC" w:rsidP="00927F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3E02">
                              <w:rPr>
                                <w:rFonts w:ascii="Arial" w:hAnsi="Arial" w:cs="Arial"/>
                              </w:rPr>
                              <w:t>Schon gewusst?</w:t>
                            </w:r>
                          </w:p>
                          <w:p w14:paraId="2B5D2E58" w14:textId="77777777" w:rsidR="00927FFC" w:rsidRPr="00CB3E02" w:rsidRDefault="00927FFC" w:rsidP="00927F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3E02">
                              <w:rPr>
                                <w:rFonts w:ascii="Arial" w:hAnsi="Arial" w:cs="Arial"/>
                              </w:rPr>
                              <w:t xml:space="preserve"> Die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BU-</w:t>
                            </w:r>
                            <w:r w:rsidRPr="00CB3E02">
                              <w:rPr>
                                <w:rFonts w:ascii="Arial" w:hAnsi="Arial" w:cs="Arial"/>
                                <w:b/>
                              </w:rPr>
                              <w:t>Leistungsquote</w:t>
                            </w:r>
                            <w:r w:rsidRPr="00CB3E02">
                              <w:rPr>
                                <w:rFonts w:ascii="Arial" w:hAnsi="Arial" w:cs="Arial"/>
                              </w:rPr>
                              <w:t xml:space="preserve"> des Münchener Vereines liegt in 2023 bei </w:t>
                            </w:r>
                            <w:r w:rsidRPr="00D7291E">
                              <w:rPr>
                                <w:rFonts w:ascii="Arial" w:hAnsi="Arial" w:cs="Arial"/>
                                <w:b/>
                              </w:rPr>
                              <w:t>84,75%</w:t>
                            </w:r>
                            <w:r w:rsidRPr="00CB3E02">
                              <w:rPr>
                                <w:rFonts w:ascii="Arial" w:hAnsi="Arial" w:cs="Arial"/>
                              </w:rPr>
                              <w:t xml:space="preserve"> (in 2022: 81,06%)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Einbau einer </w:t>
            </w:r>
            <w:r w:rsidRPr="00186923">
              <w:rPr>
                <w:rFonts w:ascii="Arial" w:hAnsi="Arial" w:cs="Arial"/>
                <w:b/>
                <w:color w:val="000000"/>
                <w:sz w:val="24"/>
                <w:szCs w:val="24"/>
                <w:lang w:eastAsia="de-DE"/>
              </w:rPr>
              <w:t>Karenzzeit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 (6-24 Monate)</w:t>
            </w:r>
          </w:p>
          <w:p w14:paraId="3F2655A3" w14:textId="77777777" w:rsidR="00927FFC" w:rsidRDefault="00927FFC" w:rsidP="00927FFC">
            <w:pPr>
              <w:pStyle w:val="Listenabsatz"/>
              <w:numPr>
                <w:ilvl w:val="0"/>
                <w:numId w:val="16"/>
              </w:num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Abschluss der um bis zu 30% günstigeren </w:t>
            </w:r>
            <w:r w:rsidRPr="00186923">
              <w:rPr>
                <w:rFonts w:ascii="Arial" w:hAnsi="Arial" w:cs="Arial"/>
                <w:b/>
                <w:color w:val="000000"/>
                <w:sz w:val="24"/>
                <w:szCs w:val="24"/>
                <w:lang w:eastAsia="de-DE"/>
              </w:rPr>
              <w:t>Aktivvariante</w:t>
            </w:r>
          </w:p>
          <w:p w14:paraId="3CB01A91" w14:textId="77777777" w:rsidR="00927FFC" w:rsidRDefault="00927FFC" w:rsidP="00927FFC">
            <w:pPr>
              <w:pStyle w:val="Listenabsatz"/>
              <w:numPr>
                <w:ilvl w:val="1"/>
                <w:numId w:val="16"/>
              </w:num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Abänderung des BU-Grades auf 75%, </w:t>
            </w:r>
          </w:p>
          <w:p w14:paraId="4AF80A09" w14:textId="77777777" w:rsidR="00927FFC" w:rsidRDefault="00927FFC" w:rsidP="00927FFC">
            <w:pPr>
              <w:pStyle w:val="Listenabsatz"/>
              <w:numPr>
                <w:ilvl w:val="1"/>
                <w:numId w:val="16"/>
              </w:num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Leistung </w:t>
            </w:r>
            <w:r w:rsidRPr="000D401F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de-DE"/>
              </w:rPr>
              <w:t>schwerpunktmäßig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 auf unfallbedingte- und den Bewegungsapparat betreffende BU)</w:t>
            </w:r>
          </w:p>
          <w:p w14:paraId="28A5E18C" w14:textId="77777777" w:rsidR="00927FFC" w:rsidRPr="0094590A" w:rsidRDefault="00927FFC" w:rsidP="00927FFC">
            <w:pPr>
              <w:pStyle w:val="Listenabsatz"/>
              <w:numPr>
                <w:ilvl w:val="1"/>
                <w:numId w:val="16"/>
              </w:num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Wechselmöglichkeit in die Premiumvariante</w:t>
            </w:r>
          </w:p>
        </w:tc>
      </w:tr>
    </w:tbl>
    <w:p w14:paraId="3BEB35B5" w14:textId="77777777" w:rsidR="00927FFC" w:rsidRPr="00714DC4" w:rsidRDefault="00927FFC" w:rsidP="00927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97846E2" w14:textId="77777777" w:rsidR="00927FFC" w:rsidRDefault="00927FFC" w:rsidP="00927FFC">
      <w:pPr>
        <w:spacing w:after="24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</w:pPr>
      <w:r w:rsidRPr="00714DC4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1FA8F324" wp14:editId="2F846D1E">
            <wp:simplePos x="0" y="0"/>
            <wp:positionH relativeFrom="column">
              <wp:posOffset>3174521</wp:posOffset>
            </wp:positionH>
            <wp:positionV relativeFrom="paragraph">
              <wp:posOffset>146014</wp:posOffset>
            </wp:positionV>
            <wp:extent cx="3615690" cy="602615"/>
            <wp:effectExtent l="0" t="0" r="3810" b="698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415AF" w14:textId="77777777" w:rsidR="00927FFC" w:rsidRDefault="00927FFC" w:rsidP="00927FF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tbl>
      <w:tblPr>
        <w:tblStyle w:val="EinfacheTabelle4"/>
        <w:tblW w:w="9876" w:type="dxa"/>
        <w:tblLook w:val="04A0" w:firstRow="1" w:lastRow="0" w:firstColumn="1" w:lastColumn="0" w:noHBand="0" w:noVBand="1"/>
      </w:tblPr>
      <w:tblGrid>
        <w:gridCol w:w="2964"/>
        <w:gridCol w:w="6912"/>
      </w:tblGrid>
      <w:tr w:rsidR="00927FFC" w14:paraId="34ECAB57" w14:textId="77777777" w:rsidTr="00317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</w:tcPr>
          <w:p w14:paraId="1D009C4A" w14:textId="77777777" w:rsidR="00927FFC" w:rsidRDefault="00927FFC" w:rsidP="00E25DE7">
            <w:pPr>
              <w:spacing w:after="240"/>
              <w:rPr>
                <w:rFonts w:ascii="Arial" w:hAnsi="Arial" w:cs="Arial"/>
                <w:i/>
                <w:color w:val="000000"/>
                <w:sz w:val="24"/>
                <w:szCs w:val="24"/>
                <w:lang w:eastAsia="de-DE"/>
              </w:rPr>
            </w:pPr>
          </w:p>
          <w:p w14:paraId="3B7881D3" w14:textId="77777777" w:rsidR="00927FFC" w:rsidRPr="008B295E" w:rsidRDefault="00927FFC" w:rsidP="00E25DE7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65AE4DB" wp14:editId="680A4793">
                  <wp:extent cx="1420073" cy="1190445"/>
                  <wp:effectExtent l="0" t="0" r="889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roline Viktoria Mielken_Münchener Vere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902" cy="121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1919454F" w14:textId="77777777" w:rsidR="00927FFC" w:rsidRPr="008B295E" w:rsidRDefault="00927FFC" w:rsidP="00E25DE7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de-DE"/>
              </w:rPr>
            </w:pPr>
            <w:r w:rsidRPr="008B295E"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eastAsia="de-DE"/>
              </w:rPr>
              <w:t>„</w:t>
            </w:r>
            <w:r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eastAsia="de-DE"/>
              </w:rPr>
              <w:t>Mit dem BU-Firmenkonzept erhalten Arbeitgeber und Mitarbeiter einen enormen Mehrwert – die oftmals schwierige Hürde der Risikoprüfung stellt keine mehr dar</w:t>
            </w:r>
            <w:r w:rsidRPr="008B295E"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eastAsia="de-DE"/>
              </w:rPr>
              <w:t>.</w:t>
            </w:r>
            <w:r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eastAsia="de-DE"/>
              </w:rPr>
              <w:t xml:space="preserve"> Arbeitgeber profitieren, indem ihre Mitarbeiter finanziellen Schutz erhalten und sich auf die Genesung konzentrieren können.</w:t>
            </w:r>
            <w:r w:rsidRPr="008B295E"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eastAsia="de-DE"/>
              </w:rPr>
              <w:t>“</w:t>
            </w:r>
            <w:r w:rsidRPr="008B295E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14:paraId="7984B060" w14:textId="77777777" w:rsidR="00927FFC" w:rsidRDefault="00927FFC" w:rsidP="00E25DE7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EE52F9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Karoline Viktoria Mielken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, </w:t>
            </w:r>
          </w:p>
          <w:p w14:paraId="726F5A6B" w14:textId="77777777" w:rsidR="00927FFC" w:rsidRPr="00516E75" w:rsidRDefault="00927FFC" w:rsidP="00E25DE7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Vorstandsbevollmächtigte Maklervertrieb Leben</w:t>
            </w:r>
          </w:p>
        </w:tc>
      </w:tr>
    </w:tbl>
    <w:p w14:paraId="7675F4CE" w14:textId="77777777" w:rsidR="00927FFC" w:rsidRDefault="00927FFC" w:rsidP="00927FF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Das sollten Sie beachten: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927FFC" w14:paraId="1F495A49" w14:textId="77777777" w:rsidTr="00E25DE7">
        <w:tc>
          <w:tcPr>
            <w:tcW w:w="10201" w:type="dxa"/>
            <w:gridSpan w:val="2"/>
          </w:tcPr>
          <w:p w14:paraId="263D78A0" w14:textId="77777777" w:rsidR="00927FFC" w:rsidRDefault="00927FFC" w:rsidP="00E25DE7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Besonderheiten der DHBU als Firmenkonzept:</w:t>
            </w:r>
          </w:p>
        </w:tc>
      </w:tr>
      <w:tr w:rsidR="00927FFC" w14:paraId="6B90DA90" w14:textId="77777777" w:rsidTr="00E25DE7">
        <w:tc>
          <w:tcPr>
            <w:tcW w:w="4673" w:type="dxa"/>
          </w:tcPr>
          <w:p w14:paraId="5C1952EC" w14:textId="77777777" w:rsidR="00927FFC" w:rsidRPr="008F2066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8F2066">
              <w:rPr>
                <w:rFonts w:ascii="Arial" w:hAnsi="Arial" w:cs="Arial"/>
                <w:sz w:val="24"/>
                <w:szCs w:val="24"/>
              </w:rPr>
              <w:t xml:space="preserve">Keine Nachversicherungsgarantie </w:t>
            </w:r>
          </w:p>
          <w:p w14:paraId="528F0E9C" w14:textId="77777777" w:rsidR="00927FFC" w:rsidRPr="008F2066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8F2066">
              <w:rPr>
                <w:rFonts w:ascii="Arial" w:hAnsi="Arial" w:cs="Arial"/>
                <w:sz w:val="24"/>
                <w:szCs w:val="24"/>
              </w:rPr>
              <w:t xml:space="preserve">Keine Beitragsdynamik </w:t>
            </w:r>
          </w:p>
          <w:p w14:paraId="55305F92" w14:textId="77777777" w:rsidR="00927FFC" w:rsidRPr="008F2066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8F2066">
              <w:rPr>
                <w:rFonts w:ascii="Arial" w:hAnsi="Arial" w:cs="Arial"/>
                <w:sz w:val="24"/>
                <w:szCs w:val="24"/>
              </w:rPr>
              <w:t>Leistungsdynamik max. 2 Prozent</w:t>
            </w:r>
          </w:p>
          <w:p w14:paraId="3BCF4945" w14:textId="77777777" w:rsidR="00927FFC" w:rsidRPr="008F2066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AU-Option möglich</w:t>
            </w:r>
          </w:p>
          <w:p w14:paraId="1A3A9EC1" w14:textId="77777777" w:rsidR="00927FFC" w:rsidRPr="008F2066" w:rsidRDefault="00927FFC" w:rsidP="00E25DE7">
            <w:pPr>
              <w:pStyle w:val="Listenabsatz"/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28" w:type="dxa"/>
          </w:tcPr>
          <w:p w14:paraId="55E91EEA" w14:textId="77777777" w:rsidR="00927FFC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8F2066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Reine Arbeitgeberfinanzierung</w:t>
            </w:r>
          </w:p>
          <w:p w14:paraId="6B53D7D0" w14:textId="77777777" w:rsidR="00927FFC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Abweichende steuerliche Behandlung </w:t>
            </w:r>
            <w:r w:rsidRPr="00BE1FB7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gegenüber Absicherung im privaten Bereich</w:t>
            </w:r>
          </w:p>
          <w:p w14:paraId="0A8B3A7B" w14:textId="77777777" w:rsidR="00927FFC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Bis 2.000 EUR BU-Rente möglich</w:t>
            </w:r>
          </w:p>
          <w:p w14:paraId="1A4F3429" w14:textId="77777777" w:rsidR="00927FFC" w:rsidRPr="008F2066" w:rsidRDefault="00927FFC" w:rsidP="00927FFC">
            <w:pPr>
              <w:pStyle w:val="Listenabsatz"/>
              <w:numPr>
                <w:ilvl w:val="0"/>
                <w:numId w:val="22"/>
              </w:num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Besserstellung für Auszubildende</w:t>
            </w:r>
          </w:p>
        </w:tc>
      </w:tr>
    </w:tbl>
    <w:p w14:paraId="2444487A" w14:textId="76D5CBC1" w:rsidR="00927FFC" w:rsidRPr="0094590A" w:rsidRDefault="00927FFC" w:rsidP="00927FF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 DHBU</w:t>
      </w:r>
      <w:r w:rsidRPr="00714DC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ist auf unsere Zielgruppe Handwerk abgestimmt und bietet für viele handwerkliche Berufe ein besonders günstiges Preis-Leistungs-Verhältnis. Natürlich steht sie auch Kunden außerhalb des Handwerks offen.</w:t>
      </w:r>
    </w:p>
    <w:p w14:paraId="6A9D430A" w14:textId="75612977" w:rsidR="00927FFC" w:rsidRPr="00714DC4" w:rsidRDefault="00927FFC" w:rsidP="00927FFC">
      <w:pPr>
        <w:pStyle w:val="StandardWeb"/>
        <w:shd w:val="clear" w:color="auto" w:fill="FFFFFF"/>
        <w:rPr>
          <w:rFonts w:ascii="Arial" w:eastAsiaTheme="minorEastAsia" w:hAnsi="Arial" w:cs="Arial"/>
          <w:b/>
          <w:color w:val="000000"/>
          <w:szCs w:val="22"/>
          <w:shd w:val="clear" w:color="auto" w:fill="FFFFFF"/>
          <w:lang w:eastAsia="ko-KR"/>
        </w:rPr>
      </w:pPr>
      <w:r w:rsidRPr="00714DC4">
        <w:rPr>
          <w:rFonts w:ascii="Arial" w:eastAsiaTheme="minorEastAsia" w:hAnsi="Arial" w:cs="Arial"/>
          <w:b/>
          <w:color w:val="000000"/>
          <w:szCs w:val="22"/>
          <w:shd w:val="clear" w:color="auto" w:fill="FFFFFF"/>
          <w:lang w:eastAsia="ko-KR"/>
        </w:rPr>
        <w:t>Interessiert? Dann sprechen Sie mich gerne an.</w:t>
      </w:r>
    </w:p>
    <w:p w14:paraId="101FE859" w14:textId="77777777" w:rsidR="002A48CB" w:rsidRDefault="002A48CB" w:rsidP="002A48CB">
      <w:pPr>
        <w:spacing w:after="0" w:line="240" w:lineRule="auto"/>
        <w:rPr>
          <w:rFonts w:ascii="Arial" w:hAnsi="Arial" w:cs="Arial"/>
        </w:rPr>
      </w:pPr>
    </w:p>
    <w:p w14:paraId="33215ACD" w14:textId="77777777" w:rsidR="002A48CB" w:rsidRPr="00BA5A73" w:rsidRDefault="002A48CB" w:rsidP="002A48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Ihr</w:t>
      </w:r>
    </w:p>
    <w:p w14:paraId="21A5345B" w14:textId="7708DB98" w:rsidR="002A48CB" w:rsidRDefault="00317D1B" w:rsidP="002A48CB">
      <w:pPr>
        <w:pStyle w:val="StandardWeb"/>
        <w:rPr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DF5F1ED" wp14:editId="2C65197A">
            <wp:simplePos x="0" y="0"/>
            <wp:positionH relativeFrom="column">
              <wp:posOffset>5466411</wp:posOffset>
            </wp:positionH>
            <wp:positionV relativeFrom="paragraph">
              <wp:posOffset>462413</wp:posOffset>
            </wp:positionV>
            <wp:extent cx="1005840" cy="914400"/>
            <wp:effectExtent l="0" t="0" r="381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8CB" w:rsidRPr="003A722E">
        <w:rPr>
          <w:noProof/>
        </w:rPr>
        <w:drawing>
          <wp:inline distT="0" distB="0" distL="0" distR="0" wp14:anchorId="49C57C4E" wp14:editId="44EA126A">
            <wp:extent cx="666750" cy="1781175"/>
            <wp:effectExtent l="0" t="4763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8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66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D3CF" w14:textId="264C894B" w:rsidR="00BB4FB8" w:rsidRPr="002A48CB" w:rsidRDefault="00927FFC" w:rsidP="002A48CB">
      <w:r>
        <w:rPr>
          <w:rFonts w:ascii="Arial" w:hAnsi="Arial" w:cs="Arial"/>
          <w:sz w:val="24"/>
        </w:rPr>
        <w:t>P.S.: Alle Unterlagen zum BU-Firmenkonzept und unsere Branchenblätter zur Positionierung der DHBU in den einzelnen Handwerksberufen finden Sie hier:</w:t>
      </w:r>
      <w:r w:rsidRPr="004D2FA3">
        <w:rPr>
          <w:rFonts w:ascii="Arial" w:hAnsi="Arial" w:cs="Arial"/>
          <w:noProof/>
          <w:sz w:val="24"/>
          <w:lang w:eastAsia="de-DE"/>
        </w:rPr>
        <w:t xml:space="preserve"> </w:t>
      </w:r>
    </w:p>
    <w:sectPr w:rsidR="00BB4FB8" w:rsidRPr="002A48CB" w:rsidSect="00B23E4B">
      <w:headerReference w:type="default" r:id="rId11"/>
      <w:footerReference w:type="default" r:id="rId12"/>
      <w:pgSz w:w="11906" w:h="16838" w:code="9"/>
      <w:pgMar w:top="4520" w:right="1700" w:bottom="294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5BA0" w14:textId="77777777" w:rsidR="00B037C7" w:rsidRDefault="00B037C7" w:rsidP="00517BB7">
      <w:pPr>
        <w:spacing w:after="0" w:line="240" w:lineRule="auto"/>
      </w:pPr>
      <w:r>
        <w:separator/>
      </w:r>
    </w:p>
  </w:endnote>
  <w:endnote w:type="continuationSeparator" w:id="0">
    <w:p w14:paraId="6CF6827C" w14:textId="77777777" w:rsidR="00B037C7" w:rsidRDefault="00B037C7" w:rsidP="0051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C9B6" w14:textId="30CC79D0" w:rsidR="00517BB7" w:rsidRDefault="00FE77A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FE2BE8" wp14:editId="2F69F4C9">
              <wp:simplePos x="0" y="0"/>
              <wp:positionH relativeFrom="page">
                <wp:posOffset>2700655</wp:posOffset>
              </wp:positionH>
              <wp:positionV relativeFrom="page">
                <wp:posOffset>9181465</wp:posOffset>
              </wp:positionV>
              <wp:extent cx="2160000" cy="1440000"/>
              <wp:effectExtent l="0" t="0" r="0" b="8255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0" cy="1440000"/>
                      </a:xfrm>
                      <a:prstGeom prst="rect">
                        <a:avLst/>
                      </a:prstGeom>
                      <a:solidFill>
                        <a:srgbClr val="1793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F12C45" w14:textId="3D95924B" w:rsidR="00973326" w:rsidRPr="00973326" w:rsidRDefault="008D1F80" w:rsidP="0097332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Ali</w:t>
                          </w:r>
                          <w:r w:rsidR="00973326" w:rsidRPr="009733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Gürcali</w:t>
                          </w:r>
                        </w:p>
                        <w:p w14:paraId="023C0FB0" w14:textId="42AF3323" w:rsidR="00973326" w:rsidRPr="00973326" w:rsidRDefault="008D1F80" w:rsidP="0097332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Vertriebsleiter </w:t>
                          </w:r>
                          <w:r w:rsidR="00973326" w:rsidRPr="0097332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Münchener Verein</w:t>
                          </w:r>
                        </w:p>
                        <w:p w14:paraId="55328464" w14:textId="5D561DFB" w:rsidR="00973326" w:rsidRPr="00973326" w:rsidRDefault="00973326" w:rsidP="0097332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332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Maklervertrieb / VD 11 </w:t>
                          </w:r>
                        </w:p>
                        <w:p w14:paraId="0E0DC5AD" w14:textId="77777777" w:rsidR="00973326" w:rsidRPr="00973326" w:rsidRDefault="00973326" w:rsidP="0097332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165440E" w14:textId="77777777" w:rsidR="00973326" w:rsidRPr="00973326" w:rsidRDefault="00973326" w:rsidP="0097332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332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Pettenkoferstr. 19, 80336 München </w:t>
                          </w:r>
                        </w:p>
                        <w:p w14:paraId="7E48A87D" w14:textId="4AFD4761" w:rsidR="0018494F" w:rsidRPr="0018494F" w:rsidRDefault="008D1F80" w:rsidP="0018494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089 / 51 52-2340</w:t>
                          </w:r>
                        </w:p>
                        <w:p w14:paraId="4474D1C6" w14:textId="77777777" w:rsidR="0018494F" w:rsidRPr="0018494F" w:rsidRDefault="0018494F" w:rsidP="0018494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849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 089 / 51 52-2349</w:t>
                          </w:r>
                        </w:p>
                        <w:p w14:paraId="7B0C062F" w14:textId="5188747A" w:rsidR="0018494F" w:rsidRDefault="0018494F" w:rsidP="0018494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849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Mobil: 01</w:t>
                          </w:r>
                          <w:r w:rsidR="008D1F8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60</w:t>
                          </w:r>
                          <w:r w:rsidRPr="001849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8D1F8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92 90 38 81</w:t>
                          </w:r>
                        </w:p>
                        <w:p w14:paraId="33A1B4BE" w14:textId="392C94EB" w:rsidR="00FE77A0" w:rsidRPr="00973326" w:rsidRDefault="008D1F80" w:rsidP="0018494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guercali.ali</w:t>
                          </w:r>
                          <w:r w:rsidR="00973326" w:rsidRPr="0097332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@muenchener-verein.de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E2BE8" id="Rechteck 7" o:spid="_x0000_s1027" style="position:absolute;margin-left:212.65pt;margin-top:722.95pt;width:170.1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" fillcolor="#1793d7" stroked="f" strokeweight="1pt">
              <v:textbox inset="3mm,3mm,3mm,3mm">
                <w:txbxContent>
                  <w:p w14:paraId="1FF12C45" w14:textId="3D95924B" w:rsidR="00973326" w:rsidRPr="00973326" w:rsidRDefault="008D1F80" w:rsidP="0097332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Ali</w:t>
                    </w:r>
                    <w:r w:rsidR="00973326" w:rsidRPr="0097332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Gürcali</w:t>
                    </w:r>
                  </w:p>
                  <w:p w14:paraId="023C0FB0" w14:textId="42AF3323" w:rsidR="00973326" w:rsidRPr="00973326" w:rsidRDefault="008D1F80" w:rsidP="0097332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Vertriebsleiter </w:t>
                    </w:r>
                    <w:r w:rsidR="00973326" w:rsidRPr="00973326">
                      <w:rPr>
                        <w:rFonts w:ascii="Arial" w:hAnsi="Arial" w:cs="Arial"/>
                        <w:sz w:val="16"/>
                        <w:szCs w:val="16"/>
                      </w:rPr>
                      <w:t>Münchener Verein</w:t>
                    </w:r>
                  </w:p>
                  <w:p w14:paraId="55328464" w14:textId="5D561DFB" w:rsidR="00973326" w:rsidRPr="00973326" w:rsidRDefault="00973326" w:rsidP="0097332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33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Maklervertrieb / VD 11 </w:t>
                    </w:r>
                  </w:p>
                  <w:p w14:paraId="0E0DC5AD" w14:textId="77777777" w:rsidR="00973326" w:rsidRPr="00973326" w:rsidRDefault="00973326" w:rsidP="0097332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165440E" w14:textId="77777777" w:rsidR="00973326" w:rsidRPr="00973326" w:rsidRDefault="00973326" w:rsidP="0097332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33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Pettenkoferstr. 19, 80336 München </w:t>
                    </w:r>
                  </w:p>
                  <w:p w14:paraId="7E48A87D" w14:textId="4AFD4761" w:rsidR="0018494F" w:rsidRPr="0018494F" w:rsidRDefault="008D1F80" w:rsidP="0018494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089 / 51 52-2340</w:t>
                    </w:r>
                  </w:p>
                  <w:p w14:paraId="4474D1C6" w14:textId="77777777" w:rsidR="0018494F" w:rsidRPr="0018494F" w:rsidRDefault="0018494F" w:rsidP="0018494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8494F">
                      <w:rPr>
                        <w:rFonts w:ascii="Arial" w:hAnsi="Arial" w:cs="Arial"/>
                        <w:sz w:val="16"/>
                        <w:szCs w:val="16"/>
                      </w:rPr>
                      <w:t>Fax: 089 / 51 52-2349</w:t>
                    </w:r>
                  </w:p>
                  <w:p w14:paraId="7B0C062F" w14:textId="5188747A" w:rsidR="0018494F" w:rsidRDefault="0018494F" w:rsidP="0018494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8494F">
                      <w:rPr>
                        <w:rFonts w:ascii="Arial" w:hAnsi="Arial" w:cs="Arial"/>
                        <w:sz w:val="16"/>
                        <w:szCs w:val="16"/>
                      </w:rPr>
                      <w:t>Mobil: 01</w:t>
                    </w:r>
                    <w:r w:rsidR="008D1F80">
                      <w:rPr>
                        <w:rFonts w:ascii="Arial" w:hAnsi="Arial" w:cs="Arial"/>
                        <w:sz w:val="16"/>
                        <w:szCs w:val="16"/>
                      </w:rPr>
                      <w:t>60</w:t>
                    </w:r>
                    <w:r w:rsidRPr="0018494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="008D1F80">
                      <w:rPr>
                        <w:rFonts w:ascii="Arial" w:hAnsi="Arial" w:cs="Arial"/>
                        <w:sz w:val="16"/>
                        <w:szCs w:val="16"/>
                      </w:rPr>
                      <w:t>92 90 38 81</w:t>
                    </w:r>
                  </w:p>
                  <w:p w14:paraId="33A1B4BE" w14:textId="392C94EB" w:rsidR="00FE77A0" w:rsidRPr="00973326" w:rsidRDefault="008D1F80" w:rsidP="0018494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guercali.ali</w:t>
                    </w:r>
                    <w:r w:rsidR="00973326" w:rsidRPr="00973326">
                      <w:rPr>
                        <w:rFonts w:ascii="Arial" w:hAnsi="Arial" w:cs="Arial"/>
                        <w:sz w:val="16"/>
                        <w:szCs w:val="16"/>
                      </w:rPr>
                      <w:t>@muenchener-verein.de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97C4A7" wp14:editId="4655B99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972000"/>
              <wp:effectExtent l="0" t="0" r="3175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1793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5A89E" id="Rechteck 6" o:spid="_x0000_s1026" style="position:absolute;margin-left:0;margin-top:0;width:595.3pt;height:76.5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" fillcolor="#1793d7" stroked="f" strokeweight="1pt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3831" w14:textId="77777777" w:rsidR="00B037C7" w:rsidRDefault="00B037C7" w:rsidP="00517BB7">
      <w:pPr>
        <w:spacing w:after="0" w:line="240" w:lineRule="auto"/>
      </w:pPr>
      <w:r>
        <w:separator/>
      </w:r>
    </w:p>
  </w:footnote>
  <w:footnote w:type="continuationSeparator" w:id="0">
    <w:p w14:paraId="6A9419E6" w14:textId="77777777" w:rsidR="00B037C7" w:rsidRDefault="00B037C7" w:rsidP="0051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6EFE" w14:textId="015070CF" w:rsidR="00517BB7" w:rsidRDefault="00BE425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10C3D9E5" wp14:editId="43AE4E19">
          <wp:simplePos x="0" y="0"/>
          <wp:positionH relativeFrom="page">
            <wp:posOffset>5705063</wp:posOffset>
          </wp:positionH>
          <wp:positionV relativeFrom="paragraph">
            <wp:posOffset>466725</wp:posOffset>
          </wp:positionV>
          <wp:extent cx="2209800" cy="2334260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to Ali Gürca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6" t="4219" r="-10776" b="6155"/>
                  <a:stretch/>
                </pic:blipFill>
                <pic:spPr bwMode="auto">
                  <a:xfrm>
                    <a:off x="0" y="0"/>
                    <a:ext cx="2209800" cy="233426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418"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154A3B4B" wp14:editId="06045BCB">
          <wp:simplePos x="0" y="0"/>
          <wp:positionH relativeFrom="margin">
            <wp:align>left</wp:align>
          </wp:positionH>
          <wp:positionV relativeFrom="page">
            <wp:posOffset>1581150</wp:posOffset>
          </wp:positionV>
          <wp:extent cx="2115705" cy="492368"/>
          <wp:effectExtent l="0" t="0" r="0" b="317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5705" cy="49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4AB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3A9D4B4" wp14:editId="4F771B67">
          <wp:simplePos x="0" y="0"/>
          <wp:positionH relativeFrom="page">
            <wp:posOffset>0</wp:posOffset>
          </wp:positionH>
          <wp:positionV relativeFrom="page">
            <wp:posOffset>-120694</wp:posOffset>
          </wp:positionV>
          <wp:extent cx="7560000" cy="1893600"/>
          <wp:effectExtent l="0" t="0" r="3175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4A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1DE2C" wp14:editId="6162AB79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720000"/>
              <wp:effectExtent l="0" t="0" r="3175" b="444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1793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2C790" id="Rechteck 1" o:spid="_x0000_s1026" style="position:absolute;margin-left:0;margin-top:113.4pt;width:595.3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" fillcolor="#1793d7" stroked="f" strokeweight="1pt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A68"/>
    <w:multiLevelType w:val="hybridMultilevel"/>
    <w:tmpl w:val="9D601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A9C"/>
    <w:multiLevelType w:val="hybridMultilevel"/>
    <w:tmpl w:val="320C6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1C6F"/>
    <w:multiLevelType w:val="multilevel"/>
    <w:tmpl w:val="EBA8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5B9"/>
    <w:multiLevelType w:val="hybridMultilevel"/>
    <w:tmpl w:val="D7D45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E4B1C"/>
    <w:multiLevelType w:val="hybridMultilevel"/>
    <w:tmpl w:val="78B64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320"/>
    <w:multiLevelType w:val="hybridMultilevel"/>
    <w:tmpl w:val="AABC8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C6EB1"/>
    <w:multiLevelType w:val="hybridMultilevel"/>
    <w:tmpl w:val="A2C4B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47870"/>
    <w:multiLevelType w:val="hybridMultilevel"/>
    <w:tmpl w:val="8BFCAA44"/>
    <w:lvl w:ilvl="0" w:tplc="0407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8" w15:restartNumberingAfterBreak="0">
    <w:nsid w:val="31CD3C03"/>
    <w:multiLevelType w:val="multilevel"/>
    <w:tmpl w:val="0D12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44B62"/>
    <w:multiLevelType w:val="hybridMultilevel"/>
    <w:tmpl w:val="C41AB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61AB7"/>
    <w:multiLevelType w:val="multilevel"/>
    <w:tmpl w:val="1B3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90FBA"/>
    <w:multiLevelType w:val="hybridMultilevel"/>
    <w:tmpl w:val="13FAB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95F0B"/>
    <w:multiLevelType w:val="hybridMultilevel"/>
    <w:tmpl w:val="FD30A212"/>
    <w:lvl w:ilvl="0" w:tplc="6310DE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7310B"/>
    <w:multiLevelType w:val="hybridMultilevel"/>
    <w:tmpl w:val="65A84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525FC"/>
    <w:multiLevelType w:val="hybridMultilevel"/>
    <w:tmpl w:val="F5A8F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C57E5"/>
    <w:multiLevelType w:val="hybridMultilevel"/>
    <w:tmpl w:val="8B7C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D4762"/>
    <w:multiLevelType w:val="hybridMultilevel"/>
    <w:tmpl w:val="8A705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94E"/>
    <w:multiLevelType w:val="hybridMultilevel"/>
    <w:tmpl w:val="8D6AB5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81077"/>
    <w:multiLevelType w:val="hybridMultilevel"/>
    <w:tmpl w:val="CC4C35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56043"/>
    <w:multiLevelType w:val="multilevel"/>
    <w:tmpl w:val="781E8D26"/>
    <w:lvl w:ilvl="0">
      <w:start w:val="1"/>
      <w:numFmt w:val="bullet"/>
      <w:lvlText w:val=""/>
      <w:lvlJc w:val="left"/>
      <w:pPr>
        <w:tabs>
          <w:tab w:val="num" w:pos="212"/>
        </w:tabs>
        <w:ind w:left="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2"/>
        </w:tabs>
        <w:ind w:left="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2"/>
        </w:tabs>
        <w:ind w:left="1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2"/>
        </w:tabs>
        <w:ind w:left="3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2"/>
        </w:tabs>
        <w:ind w:left="3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2"/>
        </w:tabs>
        <w:ind w:left="5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2"/>
        </w:tabs>
        <w:ind w:left="5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9"/>
  </w:num>
  <w:num w:numId="5">
    <w:abstractNumId w:val="11"/>
  </w:num>
  <w:num w:numId="6">
    <w:abstractNumId w:val="16"/>
  </w:num>
  <w:num w:numId="7">
    <w:abstractNumId w:val="14"/>
  </w:num>
  <w:num w:numId="8">
    <w:abstractNumId w:val="15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12"/>
  </w:num>
  <w:num w:numId="16">
    <w:abstractNumId w:val="7"/>
  </w:num>
  <w:num w:numId="17">
    <w:abstractNumId w:val="10"/>
  </w:num>
  <w:num w:numId="18">
    <w:abstractNumId w:val="19"/>
  </w:num>
  <w:num w:numId="19">
    <w:abstractNumId w:val="17"/>
  </w:num>
  <w:num w:numId="20">
    <w:abstractNumId w:val="2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B7"/>
    <w:rsid w:val="000111E6"/>
    <w:rsid w:val="0004073E"/>
    <w:rsid w:val="00051152"/>
    <w:rsid w:val="00073246"/>
    <w:rsid w:val="00115418"/>
    <w:rsid w:val="0018494F"/>
    <w:rsid w:val="00185F7C"/>
    <w:rsid w:val="001B0B13"/>
    <w:rsid w:val="001B3F31"/>
    <w:rsid w:val="001D67F6"/>
    <w:rsid w:val="00243D03"/>
    <w:rsid w:val="002A48CB"/>
    <w:rsid w:val="002A7E6C"/>
    <w:rsid w:val="002E2C88"/>
    <w:rsid w:val="002E686F"/>
    <w:rsid w:val="00317D1B"/>
    <w:rsid w:val="0032123F"/>
    <w:rsid w:val="003C752F"/>
    <w:rsid w:val="004618A4"/>
    <w:rsid w:val="00461DA7"/>
    <w:rsid w:val="004900F2"/>
    <w:rsid w:val="004D06CF"/>
    <w:rsid w:val="004D4828"/>
    <w:rsid w:val="004F2F00"/>
    <w:rsid w:val="00501C9F"/>
    <w:rsid w:val="00517BB7"/>
    <w:rsid w:val="005576C1"/>
    <w:rsid w:val="005A69D1"/>
    <w:rsid w:val="006A606A"/>
    <w:rsid w:val="00747A4A"/>
    <w:rsid w:val="00793FDE"/>
    <w:rsid w:val="007A2BCC"/>
    <w:rsid w:val="007E5717"/>
    <w:rsid w:val="00873DB0"/>
    <w:rsid w:val="008B5D3C"/>
    <w:rsid w:val="008B5DCF"/>
    <w:rsid w:val="008D1F80"/>
    <w:rsid w:val="008D267F"/>
    <w:rsid w:val="008F55A4"/>
    <w:rsid w:val="009135AC"/>
    <w:rsid w:val="00927FFC"/>
    <w:rsid w:val="009340FB"/>
    <w:rsid w:val="00973326"/>
    <w:rsid w:val="00985072"/>
    <w:rsid w:val="00991C8B"/>
    <w:rsid w:val="009A53EF"/>
    <w:rsid w:val="009C3DCC"/>
    <w:rsid w:val="009D5FC6"/>
    <w:rsid w:val="009F4D54"/>
    <w:rsid w:val="00A028F1"/>
    <w:rsid w:val="00A17D32"/>
    <w:rsid w:val="00A224AB"/>
    <w:rsid w:val="00A47AE2"/>
    <w:rsid w:val="00B037C7"/>
    <w:rsid w:val="00B23E4B"/>
    <w:rsid w:val="00BB4FB8"/>
    <w:rsid w:val="00BE425E"/>
    <w:rsid w:val="00C03255"/>
    <w:rsid w:val="00C059B2"/>
    <w:rsid w:val="00C41C6D"/>
    <w:rsid w:val="00C50AB5"/>
    <w:rsid w:val="00D23B85"/>
    <w:rsid w:val="00D46A1C"/>
    <w:rsid w:val="00D86AA8"/>
    <w:rsid w:val="00DD030C"/>
    <w:rsid w:val="00E37623"/>
    <w:rsid w:val="00E7303B"/>
    <w:rsid w:val="00E95FAC"/>
    <w:rsid w:val="00F53EAE"/>
    <w:rsid w:val="00F55FB4"/>
    <w:rsid w:val="00F70076"/>
    <w:rsid w:val="00FE43C6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56ABDC"/>
  <w15:docId w15:val="{A9B19D7B-557C-9C40-881B-C8ED3E08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32123F"/>
    <w:pPr>
      <w:spacing w:after="21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BB7"/>
  </w:style>
  <w:style w:type="paragraph" w:styleId="Fuzeile">
    <w:name w:val="footer"/>
    <w:basedOn w:val="Standard"/>
    <w:link w:val="FuzeileZchn"/>
    <w:uiPriority w:val="99"/>
    <w:unhideWhenUsed/>
    <w:rsid w:val="0051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BB7"/>
  </w:style>
  <w:style w:type="paragraph" w:styleId="Listenabsatz">
    <w:name w:val="List Paragraph"/>
    <w:basedOn w:val="Standard"/>
    <w:uiPriority w:val="34"/>
    <w:qFormat/>
    <w:rsid w:val="009340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40F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0F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618A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AB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51152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23F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32123F"/>
    <w:pPr>
      <w:spacing w:after="0" w:line="330" w:lineRule="atLeast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basedOn w:val="Standard"/>
    <w:uiPriority w:val="99"/>
    <w:rsid w:val="00BE425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mithellemGitternetz">
    <w:name w:val="Grid Table Light"/>
    <w:basedOn w:val="NormaleTabelle"/>
    <w:uiPriority w:val="40"/>
    <w:rsid w:val="00C059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C059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C059B2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Münchener Verein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Guercali.Ali@muenchener-verein.de</dc:creator>
  <cp:lastModifiedBy>Gürcali Ali</cp:lastModifiedBy>
  <cp:revision>4</cp:revision>
  <cp:lastPrinted>2021-08-31T10:37:00Z</cp:lastPrinted>
  <dcterms:created xsi:type="dcterms:W3CDTF">2023-08-02T14:10:00Z</dcterms:created>
  <dcterms:modified xsi:type="dcterms:W3CDTF">2023-08-02T14:37:00Z</dcterms:modified>
</cp:coreProperties>
</file>